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E8" w:rsidRPr="00BE62E8" w:rsidRDefault="00BE62E8" w:rsidP="00BE62E8">
      <w:pPr>
        <w:pStyle w:val="subhead2"/>
        <w:rPr>
          <w:sz w:val="24"/>
        </w:rPr>
      </w:pPr>
      <w:r w:rsidRPr="00BE62E8">
        <w:rPr>
          <w:sz w:val="24"/>
        </w:rPr>
        <w:t>*MSMA SAMPLE POLICY*</w:t>
      </w:r>
      <w:r w:rsidRPr="00BE62E8">
        <w:rPr>
          <w:sz w:val="24"/>
        </w:rPr>
        <w:tab/>
      </w:r>
      <w:r w:rsidRPr="00BE62E8">
        <w:rPr>
          <w:sz w:val="24"/>
        </w:rPr>
        <w:tab/>
      </w:r>
      <w:r w:rsidRPr="00BE62E8">
        <w:rPr>
          <w:sz w:val="24"/>
        </w:rPr>
        <w:tab/>
      </w:r>
      <w:r w:rsidRPr="00BE62E8">
        <w:rPr>
          <w:sz w:val="24"/>
        </w:rPr>
        <w:tab/>
        <w:t>NEPN/NSBA Code:  IMBB</w:t>
      </w:r>
    </w:p>
    <w:p w:rsidR="00BE62E8" w:rsidRPr="00BE62E8" w:rsidRDefault="00BE62E8" w:rsidP="00BE62E8"/>
    <w:p w:rsidR="00BE62E8" w:rsidRPr="00BE62E8" w:rsidRDefault="00BE62E8" w:rsidP="00BE62E8"/>
    <w:p w:rsidR="00BE62E8" w:rsidRPr="00BE62E8" w:rsidRDefault="00BE62E8" w:rsidP="00BE62E8">
      <w:pPr>
        <w:pStyle w:val="Subhead"/>
        <w:jc w:val="center"/>
        <w:rPr>
          <w:sz w:val="24"/>
          <w:szCs w:val="24"/>
        </w:rPr>
      </w:pPr>
      <w:r w:rsidRPr="00BE62E8">
        <w:rPr>
          <w:sz w:val="24"/>
          <w:szCs w:val="24"/>
        </w:rPr>
        <w:t>EXEMPTION FROM REQUIRED INSTRUCTION</w:t>
      </w:r>
    </w:p>
    <w:p w:rsidR="00BE62E8" w:rsidRPr="00BE62E8" w:rsidRDefault="00BE62E8" w:rsidP="00BE62E8"/>
    <w:p w:rsidR="00BE62E8" w:rsidRPr="00BE62E8" w:rsidRDefault="00BE62E8" w:rsidP="00BE62E8">
      <w:pPr>
        <w:pStyle w:val="text"/>
        <w:ind w:firstLine="0"/>
        <w:jc w:val="left"/>
        <w:rPr>
          <w:color w:val="auto"/>
          <w:sz w:val="24"/>
          <w:szCs w:val="24"/>
        </w:rPr>
      </w:pPr>
      <w:r w:rsidRPr="00BE62E8">
        <w:rPr>
          <w:color w:val="auto"/>
          <w:sz w:val="24"/>
          <w:szCs w:val="24"/>
        </w:rPr>
        <w:t>The curriculum of the school unit is designed to reflect the learning expectations for all students in all content areas of the system of Learning Results, as well as other statutory and regulatory requirements and content areas specified by the Board.</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The Board acknowledges that from time to time individual students may be exposed to some ideas and materials with which they or their parent(s)/legal guardian disagree.  Students and their parent(s)/legal guardian cannot be required to adopt ideas with which they disagree, but such disagreement alone is not a sufficient basis to exempt a student from the prescribed curriculum.  Exemptions from the required curriculum should be minimized because they can detract from the overall instruction provided to the class as a whole and the educational objectives sought to be achieved by the curriculum.</w:t>
      </w:r>
    </w:p>
    <w:p w:rsidR="00BE62E8" w:rsidRPr="00BE62E8" w:rsidRDefault="00BE62E8" w:rsidP="00BE62E8">
      <w:pPr>
        <w:pStyle w:val="text"/>
        <w:ind w:firstLine="0"/>
        <w:jc w:val="left"/>
        <w:rPr>
          <w:color w:val="auto"/>
          <w:sz w:val="24"/>
          <w:szCs w:val="24"/>
        </w:rPr>
      </w:pPr>
      <w:r w:rsidRPr="00BE62E8">
        <w:rPr>
          <w:color w:val="auto"/>
          <w:sz w:val="24"/>
          <w:szCs w:val="24"/>
        </w:rPr>
        <w:t xml:space="preserve"> </w:t>
      </w:r>
    </w:p>
    <w:p w:rsidR="00BE62E8" w:rsidRPr="00BE62E8" w:rsidRDefault="00BE62E8" w:rsidP="00BE62E8">
      <w:pPr>
        <w:pStyle w:val="text"/>
        <w:ind w:firstLine="0"/>
        <w:jc w:val="left"/>
        <w:rPr>
          <w:color w:val="auto"/>
          <w:sz w:val="24"/>
          <w:szCs w:val="24"/>
        </w:rPr>
      </w:pPr>
      <w:r w:rsidRPr="00BE62E8">
        <w:rPr>
          <w:color w:val="auto"/>
          <w:sz w:val="24"/>
          <w:szCs w:val="24"/>
        </w:rPr>
        <w:t>The Board recognizes, however, that there could be topics in the curriculum which may be objectionable to individual students and/or parent(s)/legal guardian based on their particular sincerely held religious, moral or philosophical beliefs.  Exemption from instruction which infringes on such beliefs may be requested by the parent(s)/legal guardian.</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i/>
          <w:iCs/>
          <w:color w:val="auto"/>
          <w:sz w:val="24"/>
          <w:szCs w:val="24"/>
        </w:rPr>
      </w:pPr>
      <w:r w:rsidRPr="00BE62E8">
        <w:rPr>
          <w:color w:val="auto"/>
          <w:sz w:val="24"/>
          <w:szCs w:val="24"/>
        </w:rPr>
        <w:t xml:space="preserve">Requests for exemption from instruction must be made in writing to the building Principal and are subject to the approval of the Principal.  The Principal shall notify the Superintendent as soon as practicable of any request for exemption from instruction and of his/her decision.   If the Principal denies an exemption request, the parent(s)/legal guardian may appeal to the Superintendent.  </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In considering requests for exemption, factors that the Principal should consider may include:</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u w:val="single"/>
        </w:rPr>
      </w:pPr>
      <w:r w:rsidRPr="00BE62E8">
        <w:rPr>
          <w:color w:val="auto"/>
          <w:sz w:val="24"/>
          <w:szCs w:val="24"/>
        </w:rPr>
        <w:tab/>
        <w:t>A.</w:t>
      </w:r>
      <w:r w:rsidRPr="00BE62E8">
        <w:rPr>
          <w:color w:val="auto"/>
          <w:sz w:val="24"/>
          <w:szCs w:val="24"/>
        </w:rPr>
        <w:tab/>
        <w:t>The alignment of the curriculum with the system of Learning Results;</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B.</w:t>
      </w:r>
      <w:r w:rsidRPr="00BE62E8">
        <w:rPr>
          <w:color w:val="auto"/>
          <w:sz w:val="24"/>
          <w:szCs w:val="24"/>
        </w:rPr>
        <w:tab/>
        <w:t>Whether the course or content area is required by state law or Board policy;</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C.</w:t>
      </w:r>
      <w:r w:rsidRPr="00BE62E8">
        <w:rPr>
          <w:color w:val="auto"/>
          <w:sz w:val="24"/>
          <w:szCs w:val="24"/>
        </w:rPr>
        <w:tab/>
        <w:t>The educational importance of the material or instruction from which exemption is requested;</w:t>
      </w: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D.</w:t>
      </w:r>
      <w:r w:rsidRPr="00BE62E8">
        <w:rPr>
          <w:color w:val="auto"/>
          <w:sz w:val="24"/>
          <w:szCs w:val="24"/>
        </w:rPr>
        <w:tab/>
        <w:t>Evidence regarding the sincerity of the belief on which the request is based;</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E.</w:t>
      </w:r>
      <w:r w:rsidRPr="00BE62E8">
        <w:rPr>
          <w:color w:val="auto"/>
          <w:sz w:val="24"/>
          <w:szCs w:val="24"/>
        </w:rPr>
        <w:tab/>
        <w:t xml:space="preserve">Whether the school has a legal obligation to accommodate the exemption request; </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p>
    <w:p w:rsidR="00BE62E8" w:rsidRDefault="00BE62E8" w:rsidP="00BE62E8">
      <w:pPr>
        <w:pStyle w:val="text"/>
        <w:tabs>
          <w:tab w:val="left" w:pos="720"/>
        </w:tabs>
        <w:spacing w:line="240" w:lineRule="atLeast"/>
        <w:ind w:left="1440" w:hanging="1440"/>
        <w:jc w:val="center"/>
        <w:rPr>
          <w:color w:val="auto"/>
          <w:sz w:val="24"/>
          <w:szCs w:val="24"/>
        </w:rPr>
      </w:pPr>
      <w:r w:rsidRPr="00BE62E8">
        <w:rPr>
          <w:color w:val="auto"/>
          <w:sz w:val="24"/>
          <w:szCs w:val="24"/>
        </w:rPr>
        <w:t>AUGUSTA BOARD OF EDUCATION</w:t>
      </w:r>
    </w:p>
    <w:p w:rsidR="00BE62E8" w:rsidRDefault="00BE62E8" w:rsidP="00BE62E8">
      <w:pPr>
        <w:pStyle w:val="text"/>
        <w:tabs>
          <w:tab w:val="left" w:pos="720"/>
        </w:tabs>
        <w:spacing w:line="240" w:lineRule="atLeast"/>
        <w:ind w:left="1440" w:hanging="1440"/>
        <w:jc w:val="center"/>
        <w:rPr>
          <w:color w:val="auto"/>
          <w:sz w:val="24"/>
          <w:szCs w:val="24"/>
        </w:rPr>
      </w:pPr>
    </w:p>
    <w:p w:rsidR="00BE62E8" w:rsidRPr="00BE62E8" w:rsidRDefault="00BE62E8" w:rsidP="00BE62E8">
      <w:pPr>
        <w:pStyle w:val="text"/>
        <w:tabs>
          <w:tab w:val="left" w:pos="720"/>
        </w:tabs>
        <w:spacing w:line="240" w:lineRule="atLeast"/>
        <w:ind w:left="1440" w:hanging="1440"/>
        <w:jc w:val="right"/>
        <w:rPr>
          <w:color w:val="auto"/>
          <w:sz w:val="24"/>
          <w:szCs w:val="24"/>
        </w:rPr>
      </w:pPr>
      <w:r w:rsidRPr="00BE62E8">
        <w:rPr>
          <w:color w:val="auto"/>
          <w:sz w:val="24"/>
          <w:szCs w:val="24"/>
        </w:rPr>
        <w:t>Page 1 of 3</w:t>
      </w: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lastRenderedPageBreak/>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t>NEPN/NSBA Code:  IMBB</w:t>
      </w:r>
    </w:p>
    <w:p w:rsidR="00BE62E8" w:rsidRPr="00BE62E8" w:rsidRDefault="00BE62E8" w:rsidP="00BE62E8">
      <w:pPr>
        <w:pStyle w:val="text"/>
        <w:tabs>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F.</w:t>
      </w:r>
      <w:r w:rsidRPr="00BE62E8">
        <w:rPr>
          <w:color w:val="auto"/>
          <w:sz w:val="24"/>
          <w:szCs w:val="24"/>
        </w:rPr>
        <w:tab/>
        <w:t>The effect of exemption or accommodation on the validity of the local assessment system; and</w:t>
      </w:r>
      <w:r w:rsidRPr="00BE62E8">
        <w:rPr>
          <w:color w:val="auto"/>
          <w:sz w:val="24"/>
          <w:szCs w:val="24"/>
          <w:u w:val="single"/>
        </w:rPr>
        <w:t xml:space="preserve"> </w:t>
      </w:r>
    </w:p>
    <w:p w:rsidR="00BE62E8" w:rsidRPr="00BE62E8" w:rsidRDefault="00BE62E8" w:rsidP="00BE62E8">
      <w:pPr>
        <w:pStyle w:val="text"/>
        <w:tabs>
          <w:tab w:val="left" w:pos="360"/>
          <w:tab w:val="left" w:pos="720"/>
        </w:tabs>
        <w:spacing w:line="240" w:lineRule="atLeast"/>
        <w:ind w:left="1440" w:hanging="1440"/>
        <w:jc w:val="left"/>
        <w:rPr>
          <w:color w:val="auto"/>
          <w:sz w:val="24"/>
          <w:szCs w:val="24"/>
        </w:rPr>
      </w:pPr>
    </w:p>
    <w:p w:rsidR="00BE62E8" w:rsidRPr="00BE62E8" w:rsidRDefault="00BE62E8" w:rsidP="00BE62E8">
      <w:pPr>
        <w:pStyle w:val="text"/>
        <w:tabs>
          <w:tab w:val="left" w:pos="720"/>
        </w:tabs>
        <w:spacing w:line="240" w:lineRule="atLeast"/>
        <w:ind w:left="1440" w:hanging="1440"/>
        <w:jc w:val="left"/>
        <w:rPr>
          <w:color w:val="auto"/>
          <w:sz w:val="24"/>
          <w:szCs w:val="24"/>
        </w:rPr>
      </w:pPr>
      <w:r w:rsidRPr="00BE62E8">
        <w:rPr>
          <w:color w:val="auto"/>
          <w:sz w:val="24"/>
          <w:szCs w:val="24"/>
        </w:rPr>
        <w:tab/>
        <w:t>G.</w:t>
      </w:r>
      <w:r w:rsidRPr="00BE62E8">
        <w:rPr>
          <w:color w:val="auto"/>
          <w:sz w:val="24"/>
          <w:szCs w:val="24"/>
        </w:rPr>
        <w:tab/>
        <w:t>Other factors that bear upon the particular request.</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 xml:space="preserve">Exemption from required instruction does not excuse the student from meeting the requirements of the Learning Results or from total credit hours or other requirements for graduation, or from performing alternative work. </w:t>
      </w:r>
    </w:p>
    <w:p w:rsidR="00BE62E8" w:rsidRPr="00BE62E8" w:rsidRDefault="00BE62E8" w:rsidP="00BE62E8"/>
    <w:p w:rsidR="00BE62E8" w:rsidRPr="00BE62E8" w:rsidRDefault="00BE62E8" w:rsidP="00BE62E8">
      <w:pPr>
        <w:pStyle w:val="text"/>
        <w:ind w:firstLine="0"/>
        <w:jc w:val="left"/>
        <w:rPr>
          <w:color w:val="auto"/>
          <w:sz w:val="24"/>
          <w:szCs w:val="24"/>
        </w:rPr>
      </w:pPr>
      <w:r w:rsidRPr="00BE62E8">
        <w:rPr>
          <w:color w:val="auto"/>
          <w:sz w:val="24"/>
          <w:szCs w:val="24"/>
        </w:rPr>
        <w:t>When the Principal determines that the curriculum that has been aligned with the system of Learning Results conflicts with sincerely held religious beliefs of a student or his/her parent or legal guardian, reasonable accommodation in the curriculum shall be made for the student, within the scope of existing resources.  Alternative instruction may be provided by the school or through approved independent study.  Any alternative instruction shall be approved in advance by the Principal in consultation with appropriate instructional staff and shall meet the standards and objectives of the part of the curriculum that is being replaced.  When requests for exemption from required curriculum are made for religious reasons, a parent/guardian who is dissatisfied with the Principal’s decision may appeal to the Superintendent.  If the accommodation in the curriculum that is requested is so great that the validity of the local assessment system is compromised, the Superintendent will determine how to address the situation, subject to the approval of the Commissioner.</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b/>
          <w:bCs/>
          <w:color w:val="auto"/>
          <w:sz w:val="24"/>
          <w:szCs w:val="24"/>
        </w:rPr>
      </w:pPr>
      <w:proofErr w:type="gramStart"/>
      <w:r w:rsidRPr="00BE62E8">
        <w:rPr>
          <w:color w:val="auto"/>
          <w:sz w:val="24"/>
          <w:szCs w:val="24"/>
        </w:rPr>
        <w:t>When a student is exempted from any portion of the regular curriculum for other than religious reasons (exemption based on sincere philosophical or moral beliefs), the staff will make reasonable efforts, within the scope of existing resources, to accommodate alternative instruction for the student.</w:t>
      </w:r>
      <w:proofErr w:type="gramEnd"/>
      <w:r w:rsidRPr="00BE62E8">
        <w:rPr>
          <w:color w:val="auto"/>
          <w:sz w:val="24"/>
          <w:szCs w:val="24"/>
        </w:rPr>
        <w:t xml:space="preserve">  Alternative instruction may be provided by the school or through approved independent study.  Any alternative instruction shall be approved in advance by the Principal in consultation with the classroom teacher, and shall meet the standards and objectives of the part of the curriculum that is being replaced. When requests for exemption are made for philosophical or moral reasons, a parent/guardian who is dissatisfied with the Principal’s decision may appeal to the Superintendent, whose decision shall be final.  </w:t>
      </w:r>
      <w:r w:rsidRPr="00BE62E8">
        <w:rPr>
          <w:b/>
          <w:bCs/>
          <w:color w:val="auto"/>
          <w:sz w:val="24"/>
          <w:szCs w:val="24"/>
        </w:rPr>
        <w:t>[OPTIONAL ADDITIONAL STEP:  The Board may wish to consider adding an appeal to the Board in the event that a parent/guardian is dissatisfied with the Superintendent’s decision.]</w:t>
      </w:r>
    </w:p>
    <w:p w:rsidR="00BE62E8" w:rsidRPr="00BE62E8" w:rsidRDefault="00BE62E8" w:rsidP="00BE62E8"/>
    <w:p w:rsidR="00BE62E8" w:rsidRPr="00BE62E8" w:rsidRDefault="00BE62E8" w:rsidP="00BE62E8">
      <w:pPr>
        <w:pStyle w:val="text"/>
        <w:ind w:firstLine="0"/>
        <w:jc w:val="left"/>
        <w:rPr>
          <w:color w:val="auto"/>
          <w:sz w:val="24"/>
          <w:szCs w:val="24"/>
        </w:rPr>
      </w:pPr>
      <w:r w:rsidRPr="00BE62E8">
        <w:rPr>
          <w:color w:val="auto"/>
          <w:sz w:val="24"/>
          <w:szCs w:val="24"/>
        </w:rPr>
        <w:t>Legal Reference:</w:t>
      </w:r>
      <w:r w:rsidRPr="00BE62E8">
        <w:rPr>
          <w:color w:val="auto"/>
          <w:sz w:val="24"/>
          <w:szCs w:val="24"/>
        </w:rPr>
        <w:tab/>
        <w:t>20-A MRSA § 6209</w:t>
      </w: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t>LD 1536, Chap. 51 Resolves</w:t>
      </w: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t>Ch. 127 § 3.07 (Me. Dept. of Ed. Rules)</w:t>
      </w: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t>Ch. 131 (Me. Dept. of Ed. Rules)</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p>
    <w:p w:rsidR="00BE62E8" w:rsidRPr="00BE62E8" w:rsidRDefault="00BE62E8" w:rsidP="00BE62E8">
      <w:pPr>
        <w:pStyle w:val="text"/>
        <w:ind w:firstLine="0"/>
        <w:jc w:val="left"/>
        <w:rPr>
          <w:color w:val="auto"/>
          <w:sz w:val="24"/>
          <w:szCs w:val="24"/>
        </w:rPr>
      </w:pPr>
    </w:p>
    <w:p w:rsidR="00BE62E8" w:rsidRDefault="00BE62E8" w:rsidP="00BE62E8">
      <w:pPr>
        <w:pStyle w:val="text"/>
        <w:ind w:firstLine="0"/>
        <w:jc w:val="center"/>
        <w:rPr>
          <w:color w:val="auto"/>
          <w:sz w:val="24"/>
          <w:szCs w:val="24"/>
        </w:rPr>
      </w:pPr>
      <w:r w:rsidRPr="00BE62E8">
        <w:rPr>
          <w:color w:val="auto"/>
          <w:sz w:val="24"/>
          <w:szCs w:val="24"/>
        </w:rPr>
        <w:t>AUGUSTA BOARD OF EDUCATION</w:t>
      </w:r>
    </w:p>
    <w:p w:rsidR="00BE62E8" w:rsidRDefault="00BE62E8" w:rsidP="00BE62E8">
      <w:pPr>
        <w:pStyle w:val="text"/>
        <w:ind w:firstLine="0"/>
        <w:jc w:val="center"/>
        <w:rPr>
          <w:color w:val="auto"/>
          <w:sz w:val="24"/>
          <w:szCs w:val="24"/>
        </w:rPr>
      </w:pPr>
    </w:p>
    <w:p w:rsidR="00BE62E8" w:rsidRPr="00BE62E8" w:rsidRDefault="00BE62E8" w:rsidP="00BE62E8">
      <w:pPr>
        <w:pStyle w:val="text"/>
        <w:ind w:firstLine="0"/>
        <w:jc w:val="right"/>
        <w:rPr>
          <w:color w:val="auto"/>
          <w:sz w:val="24"/>
          <w:szCs w:val="24"/>
        </w:rPr>
      </w:pPr>
      <w:r w:rsidRPr="00BE62E8">
        <w:rPr>
          <w:color w:val="auto"/>
          <w:sz w:val="24"/>
          <w:szCs w:val="24"/>
        </w:rPr>
        <w:t>Page 2 of 3</w:t>
      </w:r>
    </w:p>
    <w:p w:rsidR="00BE62E8" w:rsidRDefault="00BE62E8" w:rsidP="00BE62E8">
      <w:pPr>
        <w:pStyle w:val="text"/>
        <w:ind w:firstLine="0"/>
        <w:jc w:val="left"/>
        <w:rPr>
          <w:color w:val="auto"/>
          <w:sz w:val="24"/>
          <w:szCs w:val="24"/>
        </w:rPr>
      </w:pPr>
      <w:r w:rsidRPr="00BE62E8">
        <w:rPr>
          <w:color w:val="auto"/>
          <w:sz w:val="24"/>
          <w:szCs w:val="24"/>
        </w:rPr>
        <w:lastRenderedPageBreak/>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r w:rsidRPr="00BE62E8">
        <w:rPr>
          <w:color w:val="auto"/>
          <w:sz w:val="24"/>
          <w:szCs w:val="24"/>
        </w:rPr>
        <w:tab/>
      </w:r>
    </w:p>
    <w:p w:rsidR="00BE62E8" w:rsidRPr="00BE62E8" w:rsidRDefault="00BE62E8" w:rsidP="00BE62E8">
      <w:pPr>
        <w:pStyle w:val="text"/>
        <w:ind w:firstLine="0"/>
        <w:jc w:val="right"/>
        <w:rPr>
          <w:color w:val="auto"/>
          <w:sz w:val="24"/>
          <w:szCs w:val="24"/>
        </w:rPr>
      </w:pPr>
      <w:r w:rsidRPr="00BE62E8">
        <w:rPr>
          <w:color w:val="auto"/>
          <w:sz w:val="24"/>
          <w:szCs w:val="24"/>
        </w:rPr>
        <w:t>NEPN/NSBA Code:  IMBB</w:t>
      </w:r>
    </w:p>
    <w:p w:rsidR="00BE62E8" w:rsidRPr="00BE62E8" w:rsidRDefault="00BE62E8" w:rsidP="00BE62E8">
      <w:pPr>
        <w:pStyle w:val="text"/>
        <w:ind w:firstLine="0"/>
        <w:jc w:val="left"/>
        <w:rPr>
          <w:color w:val="auto"/>
          <w:sz w:val="24"/>
          <w:szCs w:val="24"/>
        </w:rPr>
      </w:pPr>
    </w:p>
    <w:p w:rsidR="00BE62E8" w:rsidRPr="00BE62E8" w:rsidRDefault="00BE62E8" w:rsidP="00BE62E8">
      <w:pPr>
        <w:pStyle w:val="text"/>
        <w:ind w:firstLine="0"/>
        <w:jc w:val="left"/>
        <w:rPr>
          <w:color w:val="auto"/>
          <w:sz w:val="24"/>
          <w:szCs w:val="24"/>
        </w:rPr>
      </w:pPr>
      <w:r w:rsidRPr="00BE62E8">
        <w:rPr>
          <w:color w:val="auto"/>
          <w:sz w:val="24"/>
          <w:szCs w:val="24"/>
        </w:rPr>
        <w:t>Cross Reference:</w:t>
      </w:r>
      <w:r w:rsidRPr="00BE62E8">
        <w:rPr>
          <w:color w:val="auto"/>
          <w:sz w:val="24"/>
          <w:szCs w:val="24"/>
        </w:rPr>
        <w:tab/>
        <w:t>ADF – School District Commitment to Learning Results</w:t>
      </w:r>
    </w:p>
    <w:p w:rsidR="00BE62E8" w:rsidRPr="00BE62E8" w:rsidRDefault="00BE62E8" w:rsidP="00BE62E8">
      <w:pPr>
        <w:pStyle w:val="text"/>
        <w:ind w:left="1440" w:firstLine="720"/>
        <w:jc w:val="left"/>
        <w:rPr>
          <w:color w:val="auto"/>
          <w:sz w:val="24"/>
          <w:szCs w:val="24"/>
        </w:rPr>
      </w:pPr>
      <w:r w:rsidRPr="00BE62E8">
        <w:rPr>
          <w:color w:val="auto"/>
          <w:sz w:val="24"/>
          <w:szCs w:val="24"/>
        </w:rPr>
        <w:t>IJJ – Instructional and Library Material Selection</w:t>
      </w:r>
    </w:p>
    <w:p w:rsidR="00BE62E8" w:rsidRPr="00BE62E8" w:rsidRDefault="00BE62E8" w:rsidP="00BE62E8">
      <w:pPr>
        <w:pStyle w:val="text"/>
        <w:ind w:left="1440" w:firstLine="720"/>
        <w:jc w:val="left"/>
        <w:rPr>
          <w:color w:val="auto"/>
          <w:sz w:val="24"/>
          <w:szCs w:val="24"/>
        </w:rPr>
      </w:pPr>
      <w:r w:rsidRPr="00BE62E8">
        <w:rPr>
          <w:color w:val="auto"/>
          <w:sz w:val="24"/>
          <w:szCs w:val="24"/>
        </w:rPr>
        <w:t>IMB – Teaching About Controversial/Sensitive Issues</w:t>
      </w:r>
    </w:p>
    <w:p w:rsidR="00BE62E8" w:rsidRPr="00BE62E8" w:rsidRDefault="00BE62E8" w:rsidP="00BE62E8">
      <w:pPr>
        <w:pStyle w:val="text"/>
        <w:ind w:firstLine="0"/>
        <w:jc w:val="left"/>
        <w:rPr>
          <w:color w:val="auto"/>
          <w:sz w:val="24"/>
          <w:szCs w:val="24"/>
        </w:rPr>
      </w:pPr>
      <w:r w:rsidRPr="00BE62E8">
        <w:rPr>
          <w:color w:val="auto"/>
          <w:sz w:val="24"/>
          <w:szCs w:val="24"/>
        </w:rPr>
        <w:tab/>
      </w:r>
      <w:r w:rsidRPr="00BE62E8">
        <w:rPr>
          <w:color w:val="auto"/>
          <w:sz w:val="24"/>
          <w:szCs w:val="24"/>
        </w:rPr>
        <w:tab/>
      </w:r>
      <w:r w:rsidRPr="00BE62E8">
        <w:rPr>
          <w:color w:val="auto"/>
          <w:sz w:val="24"/>
          <w:szCs w:val="24"/>
        </w:rPr>
        <w:tab/>
      </w:r>
    </w:p>
    <w:p w:rsidR="00BE62E8" w:rsidRPr="00BE62E8" w:rsidRDefault="00BE62E8" w:rsidP="00BE62E8">
      <w:pPr>
        <w:tabs>
          <w:tab w:val="left" w:pos="1440"/>
        </w:tabs>
      </w:pPr>
      <w:r w:rsidRPr="00BE62E8">
        <w:t>Adopted:</w:t>
      </w:r>
      <w:r w:rsidRPr="00BE62E8">
        <w:tab/>
        <w:t>________</w:t>
      </w: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bookmarkStart w:id="0" w:name="_GoBack"/>
      <w:bookmarkEnd w:id="0"/>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p>
    <w:p w:rsidR="00BE62E8" w:rsidRPr="00BE62E8" w:rsidRDefault="00BE62E8" w:rsidP="00BE62E8">
      <w:pPr>
        <w:tabs>
          <w:tab w:val="left" w:pos="1440"/>
        </w:tabs>
      </w:pPr>
      <w:r w:rsidRPr="00BE62E8">
        <w:tab/>
      </w:r>
      <w:r w:rsidRPr="00BE62E8">
        <w:tab/>
      </w:r>
      <w:r w:rsidRPr="00BE62E8">
        <w:tab/>
      </w:r>
      <w:r w:rsidRPr="00BE62E8">
        <w:tab/>
      </w:r>
      <w:r w:rsidRPr="00BE62E8">
        <w:tab/>
      </w:r>
      <w:r w:rsidRPr="00BE62E8">
        <w:tab/>
      </w:r>
      <w:r w:rsidRPr="00BE62E8">
        <w:tab/>
      </w:r>
      <w:r w:rsidRPr="00BE62E8">
        <w:tab/>
      </w:r>
      <w:r w:rsidRPr="00BE62E8">
        <w:tab/>
      </w:r>
      <w:r w:rsidRPr="00BE62E8">
        <w:tab/>
      </w:r>
    </w:p>
    <w:p w:rsidR="00BE62E8" w:rsidRDefault="00BE62E8" w:rsidP="00BE62E8">
      <w:pPr>
        <w:tabs>
          <w:tab w:val="left" w:pos="1440"/>
        </w:tabs>
        <w:jc w:val="center"/>
      </w:pPr>
      <w:r w:rsidRPr="00BE62E8">
        <w:t>AUGUSTA BOARD OF EDUCATION</w:t>
      </w:r>
    </w:p>
    <w:p w:rsidR="00BE62E8" w:rsidRDefault="00BE62E8" w:rsidP="00BE62E8">
      <w:pPr>
        <w:tabs>
          <w:tab w:val="left" w:pos="1440"/>
        </w:tabs>
        <w:jc w:val="center"/>
      </w:pPr>
    </w:p>
    <w:p w:rsidR="00BE62E8" w:rsidRPr="00BE62E8" w:rsidRDefault="00BE62E8" w:rsidP="00BE62E8">
      <w:pPr>
        <w:tabs>
          <w:tab w:val="left" w:pos="1440"/>
        </w:tabs>
        <w:jc w:val="right"/>
      </w:pPr>
      <w:r w:rsidRPr="00BE62E8">
        <w:t>Page 3 of 3</w:t>
      </w:r>
    </w:p>
    <w:p w:rsidR="00210EBE" w:rsidRPr="00BE62E8" w:rsidRDefault="00210EBE" w:rsidP="00BE62E8">
      <w:pPr>
        <w:pStyle w:val="NoSpacing"/>
        <w:rPr>
          <w:rFonts w:ascii="Times New Roman" w:hAnsi="Times New Roman" w:cs="Times New Roman"/>
          <w:sz w:val="24"/>
          <w:szCs w:val="24"/>
        </w:rPr>
      </w:pPr>
    </w:p>
    <w:sectPr w:rsidR="00210EBE" w:rsidRPr="00BE6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E8"/>
    <w:rsid w:val="00210EBE"/>
    <w:rsid w:val="00BE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2E8"/>
    <w:pPr>
      <w:spacing w:after="0" w:line="240" w:lineRule="auto"/>
    </w:pPr>
  </w:style>
  <w:style w:type="paragraph" w:customStyle="1" w:styleId="subhead2">
    <w:name w:val="subhead2"/>
    <w:rsid w:val="00BE62E8"/>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BE6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BE62E8"/>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2E8"/>
    <w:pPr>
      <w:spacing w:after="0" w:line="240" w:lineRule="auto"/>
    </w:pPr>
  </w:style>
  <w:style w:type="paragraph" w:customStyle="1" w:styleId="subhead2">
    <w:name w:val="subhead2"/>
    <w:rsid w:val="00BE62E8"/>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BE6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BE62E8"/>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2014-11-24T16:53:00Z</dcterms:created>
  <dcterms:modified xsi:type="dcterms:W3CDTF">2014-11-24T16:53:00Z</dcterms:modified>
</cp:coreProperties>
</file>